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230B" w:rsidRDefault="00594D25">
      <w:pPr>
        <w:pStyle w:val="Heading1"/>
        <w:spacing w:before="139"/>
        <w:ind w:right="474"/>
      </w:pPr>
      <w:bookmarkStart w:id="0" w:name="_GoBack"/>
      <w:r>
        <w:t>NGHỊ QUYẾT</w:t>
      </w:r>
    </w:p>
    <w:p w:rsidR="001F230B" w:rsidRDefault="00594D25">
      <w:pPr>
        <w:ind w:left="501" w:right="474"/>
        <w:jc w:val="center"/>
        <w:rPr>
          <w:b/>
          <w:sz w:val="28"/>
        </w:rPr>
      </w:pPr>
      <w:r>
        <w:rPr>
          <w:b/>
          <w:sz w:val="28"/>
        </w:rPr>
        <w:t>Quy định chính sách hỗ trợ đối với cán bộ, công chức cấp xã</w:t>
      </w:r>
    </w:p>
    <w:p w:rsidR="001F230B" w:rsidRDefault="00594D25">
      <w:pPr>
        <w:ind w:left="501" w:right="475"/>
        <w:jc w:val="center"/>
        <w:rPr>
          <w:b/>
          <w:sz w:val="28"/>
        </w:rPr>
      </w:pPr>
      <w:r>
        <w:rPr>
          <w:b/>
          <w:sz w:val="28"/>
        </w:rPr>
        <w:t xml:space="preserve">và người hoạt động không </w:t>
      </w:r>
      <w:r>
        <w:rPr>
          <w:b/>
          <w:sz w:val="28"/>
        </w:rPr>
        <w:t>chuyên trách ở cấp xã nghỉ hưu trước tuổi,</w:t>
      </w:r>
    </w:p>
    <w:p w:rsidR="001F230B" w:rsidRDefault="00594D25">
      <w:pPr>
        <w:ind w:left="1321" w:right="1293"/>
        <w:jc w:val="center"/>
        <w:rPr>
          <w:b/>
          <w:sz w:val="28"/>
        </w:rPr>
      </w:pPr>
      <w:r>
        <w:pict>
          <v:shape id="_x0000_s1030" style="position:absolute;left:0;text-align:left;margin-left:224.25pt;margin-top:37.6pt;width:175.5pt;height:.1pt;z-index:-15727616;mso-wrap-distance-left:0;mso-wrap-distance-right:0;mso-position-horizontal-relative:page" coordorigin="4485,752" coordsize="3510,0" path="m4485,752r3510,e" filled="f">
            <v:path arrowok="t"/>
            <w10:wrap type="topAndBottom" anchorx="page"/>
          </v:shape>
        </w:pict>
      </w:r>
      <w:r>
        <w:rPr>
          <w:b/>
          <w:sz w:val="28"/>
        </w:rPr>
        <w:t>thôi việc do dôi dư khi sắp xếp đơn vị hành chính cấp xã giai đoạn 2023-2025 trên địa bàn tỉnh Hải Dương</w:t>
      </w:r>
    </w:p>
    <w:p w:rsidR="001F230B" w:rsidRDefault="00594D25">
      <w:pPr>
        <w:spacing w:before="223"/>
        <w:ind w:left="501" w:right="475"/>
        <w:jc w:val="center"/>
        <w:rPr>
          <w:b/>
          <w:sz w:val="28"/>
        </w:rPr>
      </w:pPr>
      <w:r>
        <w:rPr>
          <w:b/>
          <w:sz w:val="28"/>
        </w:rPr>
        <w:t>HỘI ĐỒNG NHÂN DÂN TỈNH HẢI DƯƠNG</w:t>
      </w:r>
    </w:p>
    <w:p w:rsidR="001F230B" w:rsidRDefault="00594D25">
      <w:pPr>
        <w:ind w:left="501" w:right="475"/>
        <w:jc w:val="center"/>
        <w:rPr>
          <w:b/>
          <w:sz w:val="28"/>
        </w:rPr>
      </w:pPr>
      <w:r>
        <w:rPr>
          <w:b/>
          <w:sz w:val="28"/>
        </w:rPr>
        <w:t>KHÓA XVII, KỲ HỌP THỨ 19</w:t>
      </w:r>
    </w:p>
    <w:p w:rsidR="001F230B" w:rsidRDefault="00594D25">
      <w:pPr>
        <w:spacing w:before="256" w:line="276" w:lineRule="auto"/>
        <w:ind w:left="141" w:right="111" w:firstLine="720"/>
        <w:jc w:val="both"/>
        <w:rPr>
          <w:i/>
          <w:sz w:val="28"/>
        </w:rPr>
      </w:pPr>
      <w:r>
        <w:rPr>
          <w:i/>
          <w:sz w:val="28"/>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1F230B" w:rsidRDefault="00594D25">
      <w:pPr>
        <w:spacing w:before="80" w:line="276" w:lineRule="auto"/>
        <w:ind w:left="141" w:right="111" w:firstLine="720"/>
        <w:jc w:val="both"/>
        <w:rPr>
          <w:i/>
          <w:sz w:val="28"/>
        </w:rPr>
      </w:pPr>
      <w:r>
        <w:rPr>
          <w:i/>
          <w:sz w:val="28"/>
        </w:rPr>
        <w:t>Căn cứ Luật Cán bộ, công chức ngày 13 tháng 11 năm 2008; Luậ</w:t>
      </w:r>
      <w:r>
        <w:rPr>
          <w:i/>
          <w:sz w:val="28"/>
        </w:rPr>
        <w:t>t sửa đổi, bổ sung một số điều của Luật Cán bộ, công chức và Luật Viên chức ngày 25 tháng 11 năm 2019;</w:t>
      </w:r>
    </w:p>
    <w:p w:rsidR="001F230B" w:rsidRDefault="00594D25">
      <w:pPr>
        <w:spacing w:before="80"/>
        <w:ind w:left="861"/>
        <w:jc w:val="both"/>
        <w:rPr>
          <w:i/>
          <w:sz w:val="28"/>
        </w:rPr>
      </w:pPr>
      <w:r>
        <w:rPr>
          <w:i/>
          <w:sz w:val="28"/>
        </w:rPr>
        <w:t>Căn cứ Luật ngân sách nhà nước ngày 25 tháng 6 năm 2015;</w:t>
      </w:r>
    </w:p>
    <w:p w:rsidR="001F230B" w:rsidRDefault="00594D25">
      <w:pPr>
        <w:spacing w:before="129" w:line="276" w:lineRule="auto"/>
        <w:ind w:left="141" w:right="112" w:firstLine="709"/>
        <w:jc w:val="both"/>
        <w:rPr>
          <w:i/>
          <w:sz w:val="28"/>
        </w:rPr>
      </w:pPr>
      <w:r>
        <w:rPr>
          <w:i/>
          <w:sz w:val="28"/>
        </w:rPr>
        <w:t xml:space="preserve">Căn cứ Nghị quyết số 35/2023/UBTVQH15 ngày 12 tháng 7 năm 2023 của Ủy ban Thường vụ Quốc hội về </w:t>
      </w:r>
      <w:r>
        <w:rPr>
          <w:i/>
          <w:sz w:val="28"/>
        </w:rPr>
        <w:t>việc sắp xếp đơn vị hành chính cấp huyện, cấp xã giai đoạn 2023 -</w:t>
      </w:r>
      <w:r>
        <w:rPr>
          <w:i/>
          <w:spacing w:val="-1"/>
          <w:sz w:val="28"/>
        </w:rPr>
        <w:t xml:space="preserve"> </w:t>
      </w:r>
      <w:r>
        <w:rPr>
          <w:i/>
          <w:sz w:val="28"/>
        </w:rPr>
        <w:t>2030;</w:t>
      </w:r>
    </w:p>
    <w:p w:rsidR="001F230B" w:rsidRDefault="00594D25">
      <w:pPr>
        <w:spacing w:before="80" w:line="276" w:lineRule="auto"/>
        <w:ind w:left="141" w:right="110" w:firstLine="709"/>
        <w:jc w:val="both"/>
        <w:rPr>
          <w:i/>
          <w:sz w:val="28"/>
        </w:rPr>
      </w:pPr>
      <w:r>
        <w:rPr>
          <w:i/>
          <w:sz w:val="28"/>
        </w:rPr>
        <w:t>Căn cứ Nghị định số 33/2023/NĐ-CP ngày 10 tháng 6 năm 2023 của Chính phủ quy định về cán bộ, công chức cấp xã và người hoạt động không chuyên trách ở cấp xã, ở thôn, tổ dân phố; Nghị đ</w:t>
      </w:r>
      <w:r>
        <w:rPr>
          <w:i/>
          <w:sz w:val="28"/>
        </w:rPr>
        <w:t>ịnh số 135/2020/NĐ-CP ngày 18 tháng 11 năm 2020 của Chính phủ quy định về tuổi nghỉ hưu;</w:t>
      </w:r>
    </w:p>
    <w:p w:rsidR="001F230B" w:rsidRDefault="00594D25">
      <w:pPr>
        <w:spacing w:before="79"/>
        <w:ind w:left="850"/>
        <w:jc w:val="both"/>
        <w:rPr>
          <w:i/>
          <w:sz w:val="28"/>
        </w:rPr>
      </w:pPr>
      <w:r>
        <w:rPr>
          <w:i/>
          <w:sz w:val="28"/>
        </w:rPr>
        <w:t>Căn cứ Nghị định s</w:t>
      </w:r>
      <w:hyperlink r:id="rId7">
        <w:r>
          <w:rPr>
            <w:i/>
            <w:sz w:val="28"/>
          </w:rPr>
          <w:t xml:space="preserve">ố </w:t>
        </w:r>
        <w:r>
          <w:rPr>
            <w:i/>
            <w:sz w:val="28"/>
          </w:rPr>
          <w:t>46/2010/NĐ-CP</w:t>
        </w:r>
      </w:hyperlink>
      <w:r>
        <w:rPr>
          <w:i/>
          <w:sz w:val="28"/>
        </w:rPr>
        <w:t xml:space="preserve"> ngày 27 tháng 4 năm 2010</w:t>
      </w:r>
    </w:p>
    <w:p w:rsidR="001F230B" w:rsidRDefault="00594D25">
      <w:pPr>
        <w:spacing w:before="49"/>
        <w:ind w:left="141"/>
        <w:jc w:val="both"/>
        <w:rPr>
          <w:i/>
          <w:sz w:val="28"/>
        </w:rPr>
      </w:pPr>
      <w:r>
        <w:rPr>
          <w:i/>
          <w:sz w:val="28"/>
        </w:rPr>
        <w:t>của Chính phủ quy định về thôi việc và thủ tục nghỉ hưu đối với công chức;</w:t>
      </w:r>
    </w:p>
    <w:p w:rsidR="001F230B" w:rsidRDefault="00594D25">
      <w:pPr>
        <w:spacing w:before="128"/>
        <w:ind w:left="850"/>
        <w:jc w:val="both"/>
        <w:rPr>
          <w:i/>
          <w:sz w:val="28"/>
        </w:rPr>
      </w:pPr>
      <w:r>
        <w:rPr>
          <w:i/>
          <w:sz w:val="28"/>
        </w:rPr>
        <w:t>Căn cứ Nghị định s</w:t>
      </w:r>
      <w:hyperlink r:id="rId8">
        <w:r>
          <w:rPr>
            <w:i/>
            <w:sz w:val="28"/>
          </w:rPr>
          <w:t>ố 29/2023/NĐ-CP</w:t>
        </w:r>
      </w:hyperlink>
      <w:r>
        <w:rPr>
          <w:i/>
          <w:sz w:val="28"/>
        </w:rPr>
        <w:t xml:space="preserve"> ngày 03 tháng 6 năm 2023</w:t>
      </w:r>
    </w:p>
    <w:p w:rsidR="001F230B" w:rsidRDefault="00594D25">
      <w:pPr>
        <w:spacing w:before="48"/>
        <w:ind w:left="141"/>
        <w:jc w:val="both"/>
        <w:rPr>
          <w:i/>
          <w:sz w:val="28"/>
        </w:rPr>
      </w:pPr>
      <w:r>
        <w:rPr>
          <w:i/>
          <w:sz w:val="28"/>
        </w:rPr>
        <w:t>của Chính phủ quy định về tinh giản biên chế;</w:t>
      </w:r>
    </w:p>
    <w:p w:rsidR="001F230B" w:rsidRDefault="00594D25">
      <w:pPr>
        <w:spacing w:before="129" w:line="276" w:lineRule="auto"/>
        <w:ind w:left="141" w:right="109" w:firstLine="709"/>
        <w:jc w:val="both"/>
        <w:rPr>
          <w:i/>
          <w:sz w:val="28"/>
        </w:rPr>
      </w:pPr>
      <w:r>
        <w:rPr>
          <w:i/>
          <w:sz w:val="28"/>
        </w:rPr>
        <w:t xml:space="preserve">Xét Tờ trình số 164/TTr-UBND ngày 01 tháng 12 năm 2023 của Ủy ban </w:t>
      </w:r>
      <w:r>
        <w:rPr>
          <w:i/>
          <w:sz w:val="28"/>
        </w:rPr>
        <w:t xml:space="preserve">nhân dân tỉnh về việc ban hành Nghị quyết quy định chính sách hỗ trợ đối với cán bộ, công chức cấp xã và người hoạt động không chuyên trách ở cấp xã nghỉ hưu trước tuổi, thôi việc do dôi dư khi sắp xếp đơn vị hành chính cấp xã giai đoạn 2023-2025 trên địa </w:t>
      </w:r>
      <w:r>
        <w:rPr>
          <w:i/>
          <w:sz w:val="28"/>
        </w:rPr>
        <w:t>bàn tỉnh Hải Dương; báo cáo thẩm tra của Ban Pháp chế Hội đồng nhân dân tỉnh và ý kiến thảo luận đại biểu Hội đồng nhân dân tỉnh tại kỳ họp.</w:t>
      </w:r>
    </w:p>
    <w:p w:rsidR="001F230B" w:rsidRDefault="00594D25">
      <w:pPr>
        <w:pStyle w:val="Heading1"/>
        <w:spacing w:before="100"/>
        <w:ind w:right="474"/>
      </w:pPr>
      <w:r>
        <w:t>QUYẾT NGHỊ:</w:t>
      </w:r>
    </w:p>
    <w:p w:rsidR="001F230B" w:rsidRDefault="001F230B">
      <w:pPr>
        <w:sectPr w:rsidR="001F230B">
          <w:type w:val="continuous"/>
          <w:pgSz w:w="11910" w:h="16840"/>
          <w:pgMar w:top="1060" w:right="1020" w:bottom="280" w:left="1560" w:header="720" w:footer="720" w:gutter="0"/>
          <w:cols w:space="720"/>
        </w:sectPr>
      </w:pPr>
    </w:p>
    <w:p w:rsidR="001F230B" w:rsidRDefault="001F230B">
      <w:pPr>
        <w:pStyle w:val="BodyText"/>
        <w:spacing w:before="5"/>
        <w:jc w:val="left"/>
        <w:rPr>
          <w:b/>
          <w:sz w:val="27"/>
        </w:rPr>
      </w:pPr>
    </w:p>
    <w:p w:rsidR="001F230B" w:rsidRDefault="00594D25">
      <w:pPr>
        <w:spacing w:before="89"/>
        <w:ind w:left="861"/>
        <w:jc w:val="both"/>
        <w:rPr>
          <w:b/>
          <w:sz w:val="28"/>
        </w:rPr>
      </w:pPr>
      <w:r>
        <w:rPr>
          <w:b/>
          <w:sz w:val="28"/>
        </w:rPr>
        <w:t>Điều 1. Phạm vi điều chỉnh và đối tượng áp dụng</w:t>
      </w:r>
    </w:p>
    <w:p w:rsidR="001F230B" w:rsidRDefault="00594D25">
      <w:pPr>
        <w:pStyle w:val="ListParagraph"/>
        <w:numPr>
          <w:ilvl w:val="0"/>
          <w:numId w:val="6"/>
        </w:numPr>
        <w:tabs>
          <w:tab w:val="left" w:pos="1141"/>
        </w:tabs>
        <w:spacing w:before="152"/>
        <w:jc w:val="both"/>
        <w:rPr>
          <w:sz w:val="28"/>
        </w:rPr>
      </w:pPr>
      <w:r>
        <w:rPr>
          <w:sz w:val="28"/>
        </w:rPr>
        <w:t>Phạm vi điều</w:t>
      </w:r>
      <w:r>
        <w:rPr>
          <w:spacing w:val="-2"/>
          <w:sz w:val="28"/>
        </w:rPr>
        <w:t xml:space="preserve"> </w:t>
      </w:r>
      <w:r>
        <w:rPr>
          <w:sz w:val="28"/>
        </w:rPr>
        <w:t>chỉnh</w:t>
      </w:r>
    </w:p>
    <w:p w:rsidR="001F230B" w:rsidRDefault="00594D25">
      <w:pPr>
        <w:pStyle w:val="BodyText"/>
        <w:spacing w:before="152" w:line="264" w:lineRule="auto"/>
        <w:ind w:left="141" w:right="112" w:firstLine="720"/>
      </w:pPr>
      <w:r>
        <w:t>Nghị quyết quy định</w:t>
      </w:r>
      <w:r>
        <w:t xml:space="preserve"> chính sách hỗ trợ đối với cán bộ, công chức cấp xã và người hoạt động không chuyên trách ở cấp xã nghỉ hưu trước tuổi, thôi </w:t>
      </w:r>
      <w:r>
        <w:rPr>
          <w:spacing w:val="-3"/>
        </w:rPr>
        <w:t xml:space="preserve">việc </w:t>
      </w:r>
      <w:r>
        <w:t>do dôi dư khi sắp xếp đơn vị hành chính cấp xã giai đoạn 2023-2025 trên địa bàn tỉnh Hải</w:t>
      </w:r>
      <w:r>
        <w:rPr>
          <w:spacing w:val="-2"/>
        </w:rPr>
        <w:t xml:space="preserve"> </w:t>
      </w:r>
      <w:r>
        <w:t>Dương.</w:t>
      </w:r>
    </w:p>
    <w:p w:rsidR="001F230B" w:rsidRDefault="00594D25">
      <w:pPr>
        <w:pStyle w:val="ListParagraph"/>
        <w:numPr>
          <w:ilvl w:val="0"/>
          <w:numId w:val="6"/>
        </w:numPr>
        <w:tabs>
          <w:tab w:val="left" w:pos="1141"/>
        </w:tabs>
        <w:spacing w:before="120"/>
        <w:jc w:val="both"/>
        <w:rPr>
          <w:sz w:val="28"/>
        </w:rPr>
      </w:pPr>
      <w:r>
        <w:rPr>
          <w:sz w:val="28"/>
        </w:rPr>
        <w:t>Đối tượng áp</w:t>
      </w:r>
      <w:r>
        <w:rPr>
          <w:spacing w:val="-2"/>
          <w:sz w:val="28"/>
        </w:rPr>
        <w:t xml:space="preserve"> </w:t>
      </w:r>
      <w:r>
        <w:rPr>
          <w:sz w:val="28"/>
        </w:rPr>
        <w:t>dụng</w:t>
      </w:r>
    </w:p>
    <w:p w:rsidR="001F230B" w:rsidRDefault="00594D25">
      <w:pPr>
        <w:pStyle w:val="BodyText"/>
        <w:spacing w:before="152" w:line="264" w:lineRule="auto"/>
        <w:ind w:left="141" w:right="111" w:firstLine="720"/>
      </w:pPr>
      <w:r>
        <w:t>Cán bộ, công</w:t>
      </w:r>
      <w:r>
        <w:t xml:space="preserve"> chức cấp xã, người hoạt động không chuyên trách ở cấp </w:t>
      </w:r>
      <w:r>
        <w:rPr>
          <w:spacing w:val="-6"/>
        </w:rPr>
        <w:t xml:space="preserve">xã </w:t>
      </w:r>
      <w:r>
        <w:t xml:space="preserve">nghỉ hưu trước tuổi, thôi việc do dôi dư khi sắp xếp đơn vị hành chính cấp xã giai đoạn 2023-2025 trên địa bàn tỉnh Hải Dương đã được cơ quan có thẩm quyền đồng ý bằng văn bản và tại thời điểm nghỉ </w:t>
      </w:r>
      <w:r>
        <w:t>hưu trước tuổi, thôi việc còn thời gian đến tuổi nghỉ hưu theo quy định của pháp luật từ 06 tháng trở</w:t>
      </w:r>
      <w:r>
        <w:rPr>
          <w:spacing w:val="-3"/>
        </w:rPr>
        <w:t xml:space="preserve"> </w:t>
      </w:r>
      <w:r>
        <w:t>lên.</w:t>
      </w:r>
    </w:p>
    <w:p w:rsidR="001F230B" w:rsidRDefault="00594D25">
      <w:pPr>
        <w:pStyle w:val="Heading1"/>
        <w:spacing w:before="120"/>
        <w:ind w:left="861"/>
        <w:jc w:val="both"/>
      </w:pPr>
      <w:r>
        <w:t>Điều 2. Mức hỗ trợ và kinh phí thực hiện</w:t>
      </w:r>
    </w:p>
    <w:p w:rsidR="001F230B" w:rsidRDefault="00594D25">
      <w:pPr>
        <w:pStyle w:val="ListParagraph"/>
        <w:numPr>
          <w:ilvl w:val="0"/>
          <w:numId w:val="5"/>
        </w:numPr>
        <w:tabs>
          <w:tab w:val="left" w:pos="1141"/>
        </w:tabs>
        <w:spacing w:before="152"/>
        <w:jc w:val="both"/>
        <w:rPr>
          <w:sz w:val="28"/>
        </w:rPr>
      </w:pPr>
      <w:r>
        <w:rPr>
          <w:sz w:val="28"/>
        </w:rPr>
        <w:t>Mức hỗ</w:t>
      </w:r>
      <w:r>
        <w:rPr>
          <w:spacing w:val="-2"/>
          <w:sz w:val="28"/>
        </w:rPr>
        <w:t xml:space="preserve"> </w:t>
      </w:r>
      <w:r>
        <w:rPr>
          <w:sz w:val="28"/>
        </w:rPr>
        <w:t>trợ</w:t>
      </w:r>
    </w:p>
    <w:p w:rsidR="001F230B" w:rsidRDefault="00594D25">
      <w:pPr>
        <w:pStyle w:val="BodyText"/>
        <w:spacing w:before="152" w:line="264" w:lineRule="auto"/>
        <w:ind w:left="141" w:right="111" w:firstLine="720"/>
      </w:pPr>
      <w:r>
        <w:t>Cán bộ, công chức cấp xã và người hoạt động không chuyên trách ở cấp xã thuộc trường hợp quy định tại khoản 2 Điều 1 Nghị quyết này khi nghỉ hưu trước tuổi, thôi việc ngoài khoản tiền được hưởng các chính sách nghỉ hưu trước tuổi, thôi việc theo quy định c</w:t>
      </w:r>
      <w:r>
        <w:t>ủa pháp luật hiện hành còn được tỉnh hỗ trợ một lần bằng tiền như</w:t>
      </w:r>
      <w:r>
        <w:rPr>
          <w:spacing w:val="-1"/>
        </w:rPr>
        <w:t xml:space="preserve"> </w:t>
      </w:r>
      <w:r>
        <w:t>sau:</w:t>
      </w:r>
    </w:p>
    <w:p w:rsidR="001F230B" w:rsidRDefault="00594D25">
      <w:pPr>
        <w:pStyle w:val="ListParagraph"/>
        <w:numPr>
          <w:ilvl w:val="0"/>
          <w:numId w:val="4"/>
        </w:numPr>
        <w:tabs>
          <w:tab w:val="left" w:pos="1159"/>
        </w:tabs>
        <w:spacing w:before="120" w:line="264" w:lineRule="auto"/>
        <w:ind w:right="111" w:firstLine="720"/>
        <w:jc w:val="both"/>
        <w:rPr>
          <w:sz w:val="28"/>
        </w:rPr>
      </w:pPr>
      <w:r>
        <w:rPr>
          <w:sz w:val="28"/>
        </w:rPr>
        <w:t>Trường hợp nghỉ hưu trước tuổi theo chính sách tinh giản biên chế của Chính phủ: hỗ trợ 1.800.000 đồng/tháng nghỉ hưu trước tuổi và tối đa không quá 100.000.000</w:t>
      </w:r>
      <w:r>
        <w:rPr>
          <w:spacing w:val="-1"/>
          <w:sz w:val="28"/>
        </w:rPr>
        <w:t xml:space="preserve"> </w:t>
      </w:r>
      <w:r>
        <w:rPr>
          <w:sz w:val="28"/>
        </w:rPr>
        <w:t>đồng/người.</w:t>
      </w:r>
    </w:p>
    <w:p w:rsidR="001F230B" w:rsidRDefault="00594D25">
      <w:pPr>
        <w:pStyle w:val="ListParagraph"/>
        <w:numPr>
          <w:ilvl w:val="0"/>
          <w:numId w:val="4"/>
        </w:numPr>
        <w:tabs>
          <w:tab w:val="left" w:pos="1165"/>
        </w:tabs>
        <w:spacing w:before="120" w:line="264" w:lineRule="auto"/>
        <w:ind w:right="111" w:firstLine="720"/>
        <w:jc w:val="both"/>
        <w:rPr>
          <w:sz w:val="28"/>
        </w:rPr>
      </w:pPr>
      <w:r>
        <w:rPr>
          <w:sz w:val="28"/>
        </w:rPr>
        <w:t xml:space="preserve">Trường hợp thôi việc theo chính sách tinh giản biên chế của Chính </w:t>
      </w:r>
      <w:r>
        <w:rPr>
          <w:spacing w:val="-3"/>
          <w:sz w:val="28"/>
        </w:rPr>
        <w:t xml:space="preserve">phủ: </w:t>
      </w:r>
      <w:r>
        <w:rPr>
          <w:sz w:val="28"/>
        </w:rPr>
        <w:t>hỗ trợ 500.000 đồng/tháng làm việc có đóng bảo hiểm xã hội và tối đa không quá 60.000.000</w:t>
      </w:r>
      <w:r>
        <w:rPr>
          <w:spacing w:val="-1"/>
          <w:sz w:val="28"/>
        </w:rPr>
        <w:t xml:space="preserve"> </w:t>
      </w:r>
      <w:r>
        <w:rPr>
          <w:sz w:val="28"/>
        </w:rPr>
        <w:t>đồng/người.</w:t>
      </w:r>
    </w:p>
    <w:p w:rsidR="001F230B" w:rsidRDefault="00594D25">
      <w:pPr>
        <w:pStyle w:val="ListParagraph"/>
        <w:numPr>
          <w:ilvl w:val="0"/>
          <w:numId w:val="4"/>
        </w:numPr>
        <w:tabs>
          <w:tab w:val="left" w:pos="1184"/>
        </w:tabs>
        <w:spacing w:before="120" w:line="264" w:lineRule="auto"/>
        <w:ind w:right="110" w:firstLine="720"/>
        <w:jc w:val="both"/>
        <w:rPr>
          <w:sz w:val="28"/>
        </w:rPr>
      </w:pPr>
      <w:r>
        <w:rPr>
          <w:sz w:val="28"/>
        </w:rPr>
        <w:t>Trường hợp thôi việc theo nguyện vọng (không theo chính sách tinh giản biên chế): h</w:t>
      </w:r>
      <w:r>
        <w:rPr>
          <w:sz w:val="28"/>
        </w:rPr>
        <w:t>ỗ trợ 500.000 đồng/tháng làm việc có đóng bảo hiểm xã hội và tối đa không quá 150.000.000</w:t>
      </w:r>
      <w:r>
        <w:rPr>
          <w:spacing w:val="-1"/>
          <w:sz w:val="28"/>
        </w:rPr>
        <w:t xml:space="preserve"> </w:t>
      </w:r>
      <w:r>
        <w:rPr>
          <w:sz w:val="28"/>
        </w:rPr>
        <w:t>đồng/người.</w:t>
      </w:r>
    </w:p>
    <w:p w:rsidR="001F230B" w:rsidRDefault="00594D25">
      <w:pPr>
        <w:pStyle w:val="ListParagraph"/>
        <w:numPr>
          <w:ilvl w:val="0"/>
          <w:numId w:val="5"/>
        </w:numPr>
        <w:tabs>
          <w:tab w:val="left" w:pos="1141"/>
        </w:tabs>
        <w:spacing w:before="120"/>
        <w:jc w:val="both"/>
        <w:rPr>
          <w:sz w:val="28"/>
        </w:rPr>
      </w:pPr>
      <w:r>
        <w:rPr>
          <w:sz w:val="28"/>
        </w:rPr>
        <w:t>Kinh phí thực hiện: Kinh phí hỗ trợ do ngân sách cấp tỉnh bảo</w:t>
      </w:r>
      <w:r>
        <w:rPr>
          <w:spacing w:val="-9"/>
          <w:sz w:val="28"/>
        </w:rPr>
        <w:t xml:space="preserve"> </w:t>
      </w:r>
      <w:r>
        <w:rPr>
          <w:sz w:val="28"/>
        </w:rPr>
        <w:t>đảm.</w:t>
      </w:r>
    </w:p>
    <w:p w:rsidR="001F230B" w:rsidRDefault="00594D25">
      <w:pPr>
        <w:pStyle w:val="Heading1"/>
        <w:spacing w:before="153"/>
        <w:ind w:left="861"/>
        <w:jc w:val="both"/>
      </w:pPr>
      <w:r>
        <w:t>Điều 3. Thu hồi số tiền đã hỗ trợ</w:t>
      </w:r>
    </w:p>
    <w:p w:rsidR="001F230B" w:rsidRDefault="00594D25">
      <w:pPr>
        <w:pStyle w:val="ListParagraph"/>
        <w:numPr>
          <w:ilvl w:val="0"/>
          <w:numId w:val="3"/>
        </w:numPr>
        <w:tabs>
          <w:tab w:val="left" w:pos="1143"/>
        </w:tabs>
        <w:spacing w:before="152" w:line="264" w:lineRule="auto"/>
        <w:ind w:right="111" w:firstLine="720"/>
        <w:jc w:val="both"/>
        <w:rPr>
          <w:sz w:val="28"/>
        </w:rPr>
      </w:pPr>
      <w:r>
        <w:rPr>
          <w:sz w:val="28"/>
        </w:rPr>
        <w:t>Đối tượng áp dụng tại khoản 2 Điều 1 Nghị quyết này n</w:t>
      </w:r>
      <w:r>
        <w:rPr>
          <w:sz w:val="28"/>
        </w:rPr>
        <w:t xml:space="preserve">ếu được bầu cử, tuyển dụng, tiếp nhận </w:t>
      </w:r>
      <w:r>
        <w:rPr>
          <w:i/>
          <w:sz w:val="28"/>
        </w:rPr>
        <w:t xml:space="preserve">(tuyển chọn) </w:t>
      </w:r>
      <w:r>
        <w:rPr>
          <w:sz w:val="28"/>
        </w:rPr>
        <w:t xml:space="preserve">lại vào các cơ quan, tổ chức, đơn vị hưởng lương từ ngân sách nhà nước trong thời gian 05 năm </w:t>
      </w:r>
      <w:r>
        <w:rPr>
          <w:i/>
          <w:sz w:val="28"/>
        </w:rPr>
        <w:t xml:space="preserve">(60 tháng) </w:t>
      </w:r>
      <w:r>
        <w:rPr>
          <w:sz w:val="28"/>
        </w:rPr>
        <w:t>kể từ ngày nghỉ hưu trước tuổi, thôi việc thì phải hoàn trả lại toàn bộ số tiền hỗ trợ đã</w:t>
      </w:r>
      <w:r>
        <w:rPr>
          <w:spacing w:val="-4"/>
          <w:sz w:val="28"/>
        </w:rPr>
        <w:t xml:space="preserve"> </w:t>
      </w:r>
      <w:r>
        <w:rPr>
          <w:sz w:val="28"/>
        </w:rPr>
        <w:t>nhận.</w:t>
      </w:r>
    </w:p>
    <w:p w:rsidR="001F230B" w:rsidRDefault="001F230B">
      <w:pPr>
        <w:spacing w:line="264" w:lineRule="auto"/>
        <w:jc w:val="both"/>
        <w:rPr>
          <w:sz w:val="28"/>
        </w:rPr>
        <w:sectPr w:rsidR="001F230B">
          <w:headerReference w:type="default" r:id="rId9"/>
          <w:pgSz w:w="11910" w:h="16840"/>
          <w:pgMar w:top="1060" w:right="1020" w:bottom="280" w:left="1560" w:header="573" w:footer="0" w:gutter="0"/>
          <w:pgNumType w:start="2"/>
          <w:cols w:space="720"/>
        </w:sectPr>
      </w:pPr>
    </w:p>
    <w:p w:rsidR="001F230B" w:rsidRDefault="00594D25">
      <w:pPr>
        <w:pStyle w:val="ListParagraph"/>
        <w:numPr>
          <w:ilvl w:val="0"/>
          <w:numId w:val="3"/>
        </w:numPr>
        <w:tabs>
          <w:tab w:val="left" w:pos="1152"/>
        </w:tabs>
        <w:spacing w:before="132" w:line="264" w:lineRule="auto"/>
        <w:ind w:right="111" w:firstLine="720"/>
        <w:jc w:val="both"/>
        <w:rPr>
          <w:sz w:val="28"/>
        </w:rPr>
      </w:pPr>
      <w:r>
        <w:rPr>
          <w:sz w:val="28"/>
        </w:rPr>
        <w:lastRenderedPageBreak/>
        <w:t xml:space="preserve">Cơ quan, đơn vị sử dụng cán bộ, công chức cấp xã và người hoạt động không chuyên trách ở cấp xã sau khi được bầu cử, tuyển dụng, tiếp </w:t>
      </w:r>
      <w:r>
        <w:rPr>
          <w:i/>
          <w:sz w:val="28"/>
        </w:rPr>
        <w:t xml:space="preserve">nhận (tuyển </w:t>
      </w:r>
      <w:r>
        <w:rPr>
          <w:i/>
          <w:sz w:val="28"/>
        </w:rPr>
        <w:t xml:space="preserve">chọn) </w:t>
      </w:r>
      <w:r>
        <w:rPr>
          <w:sz w:val="28"/>
        </w:rPr>
        <w:t>lại, có trách nhiệm thu hồi toàn bộ số tiền đã hỗ trợ, nộp vào ngân sách nhà nước theo quy</w:t>
      </w:r>
      <w:r>
        <w:rPr>
          <w:spacing w:val="-1"/>
          <w:sz w:val="28"/>
        </w:rPr>
        <w:t xml:space="preserve"> </w:t>
      </w:r>
      <w:r>
        <w:rPr>
          <w:sz w:val="28"/>
        </w:rPr>
        <w:t>định.</w:t>
      </w:r>
    </w:p>
    <w:p w:rsidR="001F230B" w:rsidRDefault="00594D25">
      <w:pPr>
        <w:pStyle w:val="Heading1"/>
        <w:spacing w:before="120"/>
        <w:ind w:left="861"/>
        <w:jc w:val="both"/>
      </w:pPr>
      <w:r>
        <w:t>Điều 4. Tổ chức thực hiện</w:t>
      </w:r>
    </w:p>
    <w:p w:rsidR="001F230B" w:rsidRDefault="00594D25">
      <w:pPr>
        <w:pStyle w:val="ListParagraph"/>
        <w:numPr>
          <w:ilvl w:val="0"/>
          <w:numId w:val="2"/>
        </w:numPr>
        <w:tabs>
          <w:tab w:val="left" w:pos="1141"/>
        </w:tabs>
        <w:spacing w:before="153"/>
        <w:jc w:val="both"/>
        <w:rPr>
          <w:sz w:val="28"/>
        </w:rPr>
      </w:pPr>
      <w:r>
        <w:rPr>
          <w:sz w:val="28"/>
        </w:rPr>
        <w:t>Giao Ủy ban nhân dân tỉnh tổ chức triển khai thực hiện Nghị</w:t>
      </w:r>
      <w:r>
        <w:rPr>
          <w:spacing w:val="-8"/>
          <w:sz w:val="28"/>
        </w:rPr>
        <w:t xml:space="preserve"> </w:t>
      </w:r>
      <w:r>
        <w:rPr>
          <w:sz w:val="28"/>
        </w:rPr>
        <w:t>quyết.</w:t>
      </w:r>
    </w:p>
    <w:p w:rsidR="001F230B" w:rsidRDefault="00594D25">
      <w:pPr>
        <w:pStyle w:val="ListParagraph"/>
        <w:numPr>
          <w:ilvl w:val="0"/>
          <w:numId w:val="2"/>
        </w:numPr>
        <w:tabs>
          <w:tab w:val="left" w:pos="1159"/>
        </w:tabs>
        <w:spacing w:before="152" w:line="264" w:lineRule="auto"/>
        <w:ind w:left="141" w:right="112" w:firstLine="720"/>
        <w:jc w:val="both"/>
        <w:rPr>
          <w:sz w:val="28"/>
        </w:rPr>
      </w:pPr>
      <w:r>
        <w:rPr>
          <w:sz w:val="28"/>
        </w:rPr>
        <w:t>Thường trực Hội đồng nhân dân, các Ban của Hội đồng nhân dân</w:t>
      </w:r>
      <w:r>
        <w:rPr>
          <w:sz w:val="28"/>
        </w:rPr>
        <w:t>, các Tổ đại biểu Hội đồng nhân dân và các đại biểu Hội đồng nhân dân tỉnh giám sát việc thực hiện Nghị</w:t>
      </w:r>
      <w:r>
        <w:rPr>
          <w:spacing w:val="-2"/>
          <w:sz w:val="28"/>
        </w:rPr>
        <w:t xml:space="preserve"> </w:t>
      </w:r>
      <w:r>
        <w:rPr>
          <w:sz w:val="28"/>
        </w:rPr>
        <w:t>quyết.</w:t>
      </w:r>
    </w:p>
    <w:p w:rsidR="001F230B" w:rsidRDefault="00594D25">
      <w:pPr>
        <w:pStyle w:val="BodyText"/>
        <w:spacing w:before="120" w:line="264" w:lineRule="auto"/>
        <w:ind w:left="141" w:right="111" w:firstLine="720"/>
      </w:pPr>
      <w:r>
        <w:t>Nghị quyết này đã được Hội đồng nhân dân tỉnh Hải Dương khóa XVII, kỳ họp thứ 19 thông qua ngày 08 tháng 12 năm 2023 và có hiệu lực kể từ ngày 18 tháng 12 năm 2023./.</w:t>
      </w:r>
    </w:p>
    <w:bookmarkEnd w:id="0"/>
    <w:p w:rsidR="001F230B" w:rsidRDefault="001F230B">
      <w:pPr>
        <w:pStyle w:val="BodyText"/>
        <w:jc w:val="left"/>
        <w:rPr>
          <w:sz w:val="20"/>
        </w:rPr>
      </w:pPr>
    </w:p>
    <w:p w:rsidR="001F230B" w:rsidRDefault="001F230B">
      <w:pPr>
        <w:rPr>
          <w:sz w:val="20"/>
        </w:rPr>
        <w:sectPr w:rsidR="001F230B">
          <w:pgSz w:w="11910" w:h="16840"/>
          <w:pgMar w:top="1060" w:right="1020" w:bottom="280" w:left="1560" w:header="573" w:footer="0" w:gutter="0"/>
          <w:cols w:space="720"/>
        </w:sectPr>
      </w:pPr>
    </w:p>
    <w:p w:rsidR="00594D25" w:rsidRDefault="00594D25" w:rsidP="00594D25">
      <w:pPr>
        <w:pStyle w:val="BodyText"/>
        <w:spacing w:before="9"/>
        <w:jc w:val="left"/>
        <w:rPr>
          <w:b/>
        </w:rPr>
      </w:pPr>
    </w:p>
    <w:p w:rsidR="001F230B" w:rsidRDefault="001F230B">
      <w:pPr>
        <w:ind w:left="107"/>
        <w:rPr>
          <w:b/>
          <w:sz w:val="28"/>
        </w:rPr>
      </w:pPr>
    </w:p>
    <w:sectPr w:rsidR="001F230B">
      <w:type w:val="continuous"/>
      <w:pgSz w:w="11910" w:h="16840"/>
      <w:pgMar w:top="1060" w:right="1020" w:bottom="280" w:left="1560" w:header="720" w:footer="720" w:gutter="0"/>
      <w:cols w:num="2" w:space="720" w:equalWidth="0">
        <w:col w:w="5170" w:space="1331"/>
        <w:col w:w="282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594D25">
      <w:r>
        <w:separator/>
      </w:r>
    </w:p>
  </w:endnote>
  <w:endnote w:type="continuationSeparator" w:id="0">
    <w:p w:rsidR="00000000" w:rsidRDefault="00594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594D25">
      <w:r>
        <w:separator/>
      </w:r>
    </w:p>
  </w:footnote>
  <w:footnote w:type="continuationSeparator" w:id="0">
    <w:p w:rsidR="00000000" w:rsidRDefault="00594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230B" w:rsidRDefault="00594D25">
    <w:pPr>
      <w:pStyle w:val="BodyText"/>
      <w:spacing w:line="14" w:lineRule="auto"/>
      <w:jc w:val="left"/>
      <w:rPr>
        <w:sz w:val="20"/>
      </w:rPr>
    </w:pPr>
    <w:r>
      <w:pict>
        <v:shapetype id="_x0000_t202" coordsize="21600,21600" o:spt="202" path="m,l,21600r21600,l21600,xe">
          <v:stroke joinstyle="miter"/>
          <v:path gradientshapeok="t" o:connecttype="rect"/>
        </v:shapetype>
        <v:shape id="_x0000_s2049" type="#_x0000_t202" style="position:absolute;margin-left:305.35pt;margin-top:27.65pt;width:13pt;height:17.55pt;z-index:-251658752;mso-position-horizontal-relative:page;mso-position-vertical-relative:page" filled="f" stroked="f">
          <v:textbox inset="0,0,0,0">
            <w:txbxContent>
              <w:p w:rsidR="001F230B" w:rsidRDefault="00594D25">
                <w:pPr>
                  <w:pStyle w:val="BodyText"/>
                  <w:spacing w:before="8"/>
                  <w:ind w:left="60"/>
                  <w:jc w:val="left"/>
                </w:pPr>
                <w:r>
                  <w:fldChar w:fldCharType="begin"/>
                </w:r>
                <w:r>
                  <w:instrText xml:space="preserve"> PAGE </w:instrText>
                </w:r>
                <w:r>
                  <w:fldChar w:fldCharType="separate"/>
                </w:r>
                <w:r>
                  <w:t>2</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F4F89"/>
    <w:multiLevelType w:val="hybridMultilevel"/>
    <w:tmpl w:val="00CE3AA4"/>
    <w:lvl w:ilvl="0" w:tplc="2D5C883C">
      <w:start w:val="1"/>
      <w:numFmt w:val="decimal"/>
      <w:lvlText w:val="%1."/>
      <w:lvlJc w:val="left"/>
      <w:pPr>
        <w:ind w:left="141" w:hanging="282"/>
        <w:jc w:val="left"/>
      </w:pPr>
      <w:rPr>
        <w:rFonts w:ascii="Times New Roman" w:eastAsia="Times New Roman" w:hAnsi="Times New Roman" w:cs="Times New Roman" w:hint="default"/>
        <w:w w:val="100"/>
        <w:sz w:val="28"/>
        <w:szCs w:val="28"/>
        <w:lang w:val="vi" w:eastAsia="en-US" w:bidi="ar-SA"/>
      </w:rPr>
    </w:lvl>
    <w:lvl w:ilvl="1" w:tplc="0A583FAE">
      <w:numFmt w:val="bullet"/>
      <w:lvlText w:val="•"/>
      <w:lvlJc w:val="left"/>
      <w:pPr>
        <w:ind w:left="1058" w:hanging="282"/>
      </w:pPr>
      <w:rPr>
        <w:rFonts w:hint="default"/>
        <w:lang w:val="vi" w:eastAsia="en-US" w:bidi="ar-SA"/>
      </w:rPr>
    </w:lvl>
    <w:lvl w:ilvl="2" w:tplc="6CD6AC3E">
      <w:numFmt w:val="bullet"/>
      <w:lvlText w:val="•"/>
      <w:lvlJc w:val="left"/>
      <w:pPr>
        <w:ind w:left="1977" w:hanging="282"/>
      </w:pPr>
      <w:rPr>
        <w:rFonts w:hint="default"/>
        <w:lang w:val="vi" w:eastAsia="en-US" w:bidi="ar-SA"/>
      </w:rPr>
    </w:lvl>
    <w:lvl w:ilvl="3" w:tplc="62F00F5C">
      <w:numFmt w:val="bullet"/>
      <w:lvlText w:val="•"/>
      <w:lvlJc w:val="left"/>
      <w:pPr>
        <w:ind w:left="2896" w:hanging="282"/>
      </w:pPr>
      <w:rPr>
        <w:rFonts w:hint="default"/>
        <w:lang w:val="vi" w:eastAsia="en-US" w:bidi="ar-SA"/>
      </w:rPr>
    </w:lvl>
    <w:lvl w:ilvl="4" w:tplc="AAAAE83C">
      <w:numFmt w:val="bullet"/>
      <w:lvlText w:val="•"/>
      <w:lvlJc w:val="left"/>
      <w:pPr>
        <w:ind w:left="3814" w:hanging="282"/>
      </w:pPr>
      <w:rPr>
        <w:rFonts w:hint="default"/>
        <w:lang w:val="vi" w:eastAsia="en-US" w:bidi="ar-SA"/>
      </w:rPr>
    </w:lvl>
    <w:lvl w:ilvl="5" w:tplc="CE2C28E0">
      <w:numFmt w:val="bullet"/>
      <w:lvlText w:val="•"/>
      <w:lvlJc w:val="left"/>
      <w:pPr>
        <w:ind w:left="4733" w:hanging="282"/>
      </w:pPr>
      <w:rPr>
        <w:rFonts w:hint="default"/>
        <w:lang w:val="vi" w:eastAsia="en-US" w:bidi="ar-SA"/>
      </w:rPr>
    </w:lvl>
    <w:lvl w:ilvl="6" w:tplc="9F90DF68">
      <w:numFmt w:val="bullet"/>
      <w:lvlText w:val="•"/>
      <w:lvlJc w:val="left"/>
      <w:pPr>
        <w:ind w:left="5652" w:hanging="282"/>
      </w:pPr>
      <w:rPr>
        <w:rFonts w:hint="default"/>
        <w:lang w:val="vi" w:eastAsia="en-US" w:bidi="ar-SA"/>
      </w:rPr>
    </w:lvl>
    <w:lvl w:ilvl="7" w:tplc="2C1EF976">
      <w:numFmt w:val="bullet"/>
      <w:lvlText w:val="•"/>
      <w:lvlJc w:val="left"/>
      <w:pPr>
        <w:ind w:left="6570" w:hanging="282"/>
      </w:pPr>
      <w:rPr>
        <w:rFonts w:hint="default"/>
        <w:lang w:val="vi" w:eastAsia="en-US" w:bidi="ar-SA"/>
      </w:rPr>
    </w:lvl>
    <w:lvl w:ilvl="8" w:tplc="BFF82026">
      <w:numFmt w:val="bullet"/>
      <w:lvlText w:val="•"/>
      <w:lvlJc w:val="left"/>
      <w:pPr>
        <w:ind w:left="7489" w:hanging="282"/>
      </w:pPr>
      <w:rPr>
        <w:rFonts w:hint="default"/>
        <w:lang w:val="vi" w:eastAsia="en-US" w:bidi="ar-SA"/>
      </w:rPr>
    </w:lvl>
  </w:abstractNum>
  <w:abstractNum w:abstractNumId="1" w15:restartNumberingAfterBreak="0">
    <w:nsid w:val="2AD26609"/>
    <w:multiLevelType w:val="hybridMultilevel"/>
    <w:tmpl w:val="4BE2A810"/>
    <w:lvl w:ilvl="0" w:tplc="EEE6B68C">
      <w:start w:val="1"/>
      <w:numFmt w:val="decimal"/>
      <w:lvlText w:val="%1."/>
      <w:lvlJc w:val="left"/>
      <w:pPr>
        <w:ind w:left="1141" w:hanging="280"/>
        <w:jc w:val="left"/>
      </w:pPr>
      <w:rPr>
        <w:rFonts w:ascii="Times New Roman" w:eastAsia="Times New Roman" w:hAnsi="Times New Roman" w:cs="Times New Roman" w:hint="default"/>
        <w:spacing w:val="-1"/>
        <w:w w:val="100"/>
        <w:sz w:val="28"/>
        <w:szCs w:val="28"/>
        <w:lang w:val="vi" w:eastAsia="en-US" w:bidi="ar-SA"/>
      </w:rPr>
    </w:lvl>
    <w:lvl w:ilvl="1" w:tplc="C832BA00">
      <w:numFmt w:val="bullet"/>
      <w:lvlText w:val="•"/>
      <w:lvlJc w:val="left"/>
      <w:pPr>
        <w:ind w:left="1958" w:hanging="280"/>
      </w:pPr>
      <w:rPr>
        <w:rFonts w:hint="default"/>
        <w:lang w:val="vi" w:eastAsia="en-US" w:bidi="ar-SA"/>
      </w:rPr>
    </w:lvl>
    <w:lvl w:ilvl="2" w:tplc="3BDAA7EA">
      <w:numFmt w:val="bullet"/>
      <w:lvlText w:val="•"/>
      <w:lvlJc w:val="left"/>
      <w:pPr>
        <w:ind w:left="2777" w:hanging="280"/>
      </w:pPr>
      <w:rPr>
        <w:rFonts w:hint="default"/>
        <w:lang w:val="vi" w:eastAsia="en-US" w:bidi="ar-SA"/>
      </w:rPr>
    </w:lvl>
    <w:lvl w:ilvl="3" w:tplc="424A9EF2">
      <w:numFmt w:val="bullet"/>
      <w:lvlText w:val="•"/>
      <w:lvlJc w:val="left"/>
      <w:pPr>
        <w:ind w:left="3596" w:hanging="280"/>
      </w:pPr>
      <w:rPr>
        <w:rFonts w:hint="default"/>
        <w:lang w:val="vi" w:eastAsia="en-US" w:bidi="ar-SA"/>
      </w:rPr>
    </w:lvl>
    <w:lvl w:ilvl="4" w:tplc="3F76F6B8">
      <w:numFmt w:val="bullet"/>
      <w:lvlText w:val="•"/>
      <w:lvlJc w:val="left"/>
      <w:pPr>
        <w:ind w:left="4414" w:hanging="280"/>
      </w:pPr>
      <w:rPr>
        <w:rFonts w:hint="default"/>
        <w:lang w:val="vi" w:eastAsia="en-US" w:bidi="ar-SA"/>
      </w:rPr>
    </w:lvl>
    <w:lvl w:ilvl="5" w:tplc="8CB2FF6C">
      <w:numFmt w:val="bullet"/>
      <w:lvlText w:val="•"/>
      <w:lvlJc w:val="left"/>
      <w:pPr>
        <w:ind w:left="5233" w:hanging="280"/>
      </w:pPr>
      <w:rPr>
        <w:rFonts w:hint="default"/>
        <w:lang w:val="vi" w:eastAsia="en-US" w:bidi="ar-SA"/>
      </w:rPr>
    </w:lvl>
    <w:lvl w:ilvl="6" w:tplc="9216C004">
      <w:numFmt w:val="bullet"/>
      <w:lvlText w:val="•"/>
      <w:lvlJc w:val="left"/>
      <w:pPr>
        <w:ind w:left="6052" w:hanging="280"/>
      </w:pPr>
      <w:rPr>
        <w:rFonts w:hint="default"/>
        <w:lang w:val="vi" w:eastAsia="en-US" w:bidi="ar-SA"/>
      </w:rPr>
    </w:lvl>
    <w:lvl w:ilvl="7" w:tplc="CE88CBF6">
      <w:numFmt w:val="bullet"/>
      <w:lvlText w:val="•"/>
      <w:lvlJc w:val="left"/>
      <w:pPr>
        <w:ind w:left="6870" w:hanging="280"/>
      </w:pPr>
      <w:rPr>
        <w:rFonts w:hint="default"/>
        <w:lang w:val="vi" w:eastAsia="en-US" w:bidi="ar-SA"/>
      </w:rPr>
    </w:lvl>
    <w:lvl w:ilvl="8" w:tplc="14D0D2B0">
      <w:numFmt w:val="bullet"/>
      <w:lvlText w:val="•"/>
      <w:lvlJc w:val="left"/>
      <w:pPr>
        <w:ind w:left="7689" w:hanging="280"/>
      </w:pPr>
      <w:rPr>
        <w:rFonts w:hint="default"/>
        <w:lang w:val="vi" w:eastAsia="en-US" w:bidi="ar-SA"/>
      </w:rPr>
    </w:lvl>
  </w:abstractNum>
  <w:abstractNum w:abstractNumId="2" w15:restartNumberingAfterBreak="0">
    <w:nsid w:val="35EF5564"/>
    <w:multiLevelType w:val="hybridMultilevel"/>
    <w:tmpl w:val="415E37F6"/>
    <w:lvl w:ilvl="0" w:tplc="5352D99C">
      <w:start w:val="1"/>
      <w:numFmt w:val="decimal"/>
      <w:lvlText w:val="%1."/>
      <w:lvlJc w:val="left"/>
      <w:pPr>
        <w:ind w:left="1141" w:hanging="280"/>
        <w:jc w:val="left"/>
      </w:pPr>
      <w:rPr>
        <w:rFonts w:ascii="Times New Roman" w:eastAsia="Times New Roman" w:hAnsi="Times New Roman" w:cs="Times New Roman" w:hint="default"/>
        <w:spacing w:val="-1"/>
        <w:w w:val="100"/>
        <w:sz w:val="28"/>
        <w:szCs w:val="28"/>
        <w:lang w:val="vi" w:eastAsia="en-US" w:bidi="ar-SA"/>
      </w:rPr>
    </w:lvl>
    <w:lvl w:ilvl="1" w:tplc="B0D21CD0">
      <w:numFmt w:val="bullet"/>
      <w:lvlText w:val="•"/>
      <w:lvlJc w:val="left"/>
      <w:pPr>
        <w:ind w:left="1958" w:hanging="280"/>
      </w:pPr>
      <w:rPr>
        <w:rFonts w:hint="default"/>
        <w:lang w:val="vi" w:eastAsia="en-US" w:bidi="ar-SA"/>
      </w:rPr>
    </w:lvl>
    <w:lvl w:ilvl="2" w:tplc="CAD29156">
      <w:numFmt w:val="bullet"/>
      <w:lvlText w:val="•"/>
      <w:lvlJc w:val="left"/>
      <w:pPr>
        <w:ind w:left="2777" w:hanging="280"/>
      </w:pPr>
      <w:rPr>
        <w:rFonts w:hint="default"/>
        <w:lang w:val="vi" w:eastAsia="en-US" w:bidi="ar-SA"/>
      </w:rPr>
    </w:lvl>
    <w:lvl w:ilvl="3" w:tplc="FF8E6F2C">
      <w:numFmt w:val="bullet"/>
      <w:lvlText w:val="•"/>
      <w:lvlJc w:val="left"/>
      <w:pPr>
        <w:ind w:left="3596" w:hanging="280"/>
      </w:pPr>
      <w:rPr>
        <w:rFonts w:hint="default"/>
        <w:lang w:val="vi" w:eastAsia="en-US" w:bidi="ar-SA"/>
      </w:rPr>
    </w:lvl>
    <w:lvl w:ilvl="4" w:tplc="81A2ADBE">
      <w:numFmt w:val="bullet"/>
      <w:lvlText w:val="•"/>
      <w:lvlJc w:val="left"/>
      <w:pPr>
        <w:ind w:left="4414" w:hanging="280"/>
      </w:pPr>
      <w:rPr>
        <w:rFonts w:hint="default"/>
        <w:lang w:val="vi" w:eastAsia="en-US" w:bidi="ar-SA"/>
      </w:rPr>
    </w:lvl>
    <w:lvl w:ilvl="5" w:tplc="F1D28CBC">
      <w:numFmt w:val="bullet"/>
      <w:lvlText w:val="•"/>
      <w:lvlJc w:val="left"/>
      <w:pPr>
        <w:ind w:left="5233" w:hanging="280"/>
      </w:pPr>
      <w:rPr>
        <w:rFonts w:hint="default"/>
        <w:lang w:val="vi" w:eastAsia="en-US" w:bidi="ar-SA"/>
      </w:rPr>
    </w:lvl>
    <w:lvl w:ilvl="6" w:tplc="8E5CC588">
      <w:numFmt w:val="bullet"/>
      <w:lvlText w:val="•"/>
      <w:lvlJc w:val="left"/>
      <w:pPr>
        <w:ind w:left="6052" w:hanging="280"/>
      </w:pPr>
      <w:rPr>
        <w:rFonts w:hint="default"/>
        <w:lang w:val="vi" w:eastAsia="en-US" w:bidi="ar-SA"/>
      </w:rPr>
    </w:lvl>
    <w:lvl w:ilvl="7" w:tplc="72FA7C4A">
      <w:numFmt w:val="bullet"/>
      <w:lvlText w:val="•"/>
      <w:lvlJc w:val="left"/>
      <w:pPr>
        <w:ind w:left="6870" w:hanging="280"/>
      </w:pPr>
      <w:rPr>
        <w:rFonts w:hint="default"/>
        <w:lang w:val="vi" w:eastAsia="en-US" w:bidi="ar-SA"/>
      </w:rPr>
    </w:lvl>
    <w:lvl w:ilvl="8" w:tplc="9DA89E48">
      <w:numFmt w:val="bullet"/>
      <w:lvlText w:val="•"/>
      <w:lvlJc w:val="left"/>
      <w:pPr>
        <w:ind w:left="7689" w:hanging="280"/>
      </w:pPr>
      <w:rPr>
        <w:rFonts w:hint="default"/>
        <w:lang w:val="vi" w:eastAsia="en-US" w:bidi="ar-SA"/>
      </w:rPr>
    </w:lvl>
  </w:abstractNum>
  <w:abstractNum w:abstractNumId="3" w15:restartNumberingAfterBreak="0">
    <w:nsid w:val="36830396"/>
    <w:multiLevelType w:val="hybridMultilevel"/>
    <w:tmpl w:val="826E2E3A"/>
    <w:lvl w:ilvl="0" w:tplc="EC5AD874">
      <w:start w:val="1"/>
      <w:numFmt w:val="decimal"/>
      <w:lvlText w:val="%1."/>
      <w:lvlJc w:val="left"/>
      <w:pPr>
        <w:ind w:left="1141" w:hanging="280"/>
        <w:jc w:val="left"/>
      </w:pPr>
      <w:rPr>
        <w:rFonts w:ascii="Times New Roman" w:eastAsia="Times New Roman" w:hAnsi="Times New Roman" w:cs="Times New Roman" w:hint="default"/>
        <w:spacing w:val="-1"/>
        <w:w w:val="100"/>
        <w:sz w:val="28"/>
        <w:szCs w:val="28"/>
        <w:lang w:val="vi" w:eastAsia="en-US" w:bidi="ar-SA"/>
      </w:rPr>
    </w:lvl>
    <w:lvl w:ilvl="1" w:tplc="552CD1BE">
      <w:numFmt w:val="bullet"/>
      <w:lvlText w:val="•"/>
      <w:lvlJc w:val="left"/>
      <w:pPr>
        <w:ind w:left="1958" w:hanging="280"/>
      </w:pPr>
      <w:rPr>
        <w:rFonts w:hint="default"/>
        <w:lang w:val="vi" w:eastAsia="en-US" w:bidi="ar-SA"/>
      </w:rPr>
    </w:lvl>
    <w:lvl w:ilvl="2" w:tplc="18EC9BA2">
      <w:numFmt w:val="bullet"/>
      <w:lvlText w:val="•"/>
      <w:lvlJc w:val="left"/>
      <w:pPr>
        <w:ind w:left="2777" w:hanging="280"/>
      </w:pPr>
      <w:rPr>
        <w:rFonts w:hint="default"/>
        <w:lang w:val="vi" w:eastAsia="en-US" w:bidi="ar-SA"/>
      </w:rPr>
    </w:lvl>
    <w:lvl w:ilvl="3" w:tplc="23AE3F76">
      <w:numFmt w:val="bullet"/>
      <w:lvlText w:val="•"/>
      <w:lvlJc w:val="left"/>
      <w:pPr>
        <w:ind w:left="3596" w:hanging="280"/>
      </w:pPr>
      <w:rPr>
        <w:rFonts w:hint="default"/>
        <w:lang w:val="vi" w:eastAsia="en-US" w:bidi="ar-SA"/>
      </w:rPr>
    </w:lvl>
    <w:lvl w:ilvl="4" w:tplc="1D92D724">
      <w:numFmt w:val="bullet"/>
      <w:lvlText w:val="•"/>
      <w:lvlJc w:val="left"/>
      <w:pPr>
        <w:ind w:left="4414" w:hanging="280"/>
      </w:pPr>
      <w:rPr>
        <w:rFonts w:hint="default"/>
        <w:lang w:val="vi" w:eastAsia="en-US" w:bidi="ar-SA"/>
      </w:rPr>
    </w:lvl>
    <w:lvl w:ilvl="5" w:tplc="2AC66F70">
      <w:numFmt w:val="bullet"/>
      <w:lvlText w:val="•"/>
      <w:lvlJc w:val="left"/>
      <w:pPr>
        <w:ind w:left="5233" w:hanging="280"/>
      </w:pPr>
      <w:rPr>
        <w:rFonts w:hint="default"/>
        <w:lang w:val="vi" w:eastAsia="en-US" w:bidi="ar-SA"/>
      </w:rPr>
    </w:lvl>
    <w:lvl w:ilvl="6" w:tplc="8E3C38D8">
      <w:numFmt w:val="bullet"/>
      <w:lvlText w:val="•"/>
      <w:lvlJc w:val="left"/>
      <w:pPr>
        <w:ind w:left="6052" w:hanging="280"/>
      </w:pPr>
      <w:rPr>
        <w:rFonts w:hint="default"/>
        <w:lang w:val="vi" w:eastAsia="en-US" w:bidi="ar-SA"/>
      </w:rPr>
    </w:lvl>
    <w:lvl w:ilvl="7" w:tplc="49E091DA">
      <w:numFmt w:val="bullet"/>
      <w:lvlText w:val="•"/>
      <w:lvlJc w:val="left"/>
      <w:pPr>
        <w:ind w:left="6870" w:hanging="280"/>
      </w:pPr>
      <w:rPr>
        <w:rFonts w:hint="default"/>
        <w:lang w:val="vi" w:eastAsia="en-US" w:bidi="ar-SA"/>
      </w:rPr>
    </w:lvl>
    <w:lvl w:ilvl="8" w:tplc="F704F762">
      <w:numFmt w:val="bullet"/>
      <w:lvlText w:val="•"/>
      <w:lvlJc w:val="left"/>
      <w:pPr>
        <w:ind w:left="7689" w:hanging="280"/>
      </w:pPr>
      <w:rPr>
        <w:rFonts w:hint="default"/>
        <w:lang w:val="vi" w:eastAsia="en-US" w:bidi="ar-SA"/>
      </w:rPr>
    </w:lvl>
  </w:abstractNum>
  <w:abstractNum w:abstractNumId="4" w15:restartNumberingAfterBreak="0">
    <w:nsid w:val="4EFE2847"/>
    <w:multiLevelType w:val="hybridMultilevel"/>
    <w:tmpl w:val="CC101E48"/>
    <w:lvl w:ilvl="0" w:tplc="0038D8C0">
      <w:numFmt w:val="bullet"/>
      <w:lvlText w:val="-"/>
      <w:lvlJc w:val="left"/>
      <w:pPr>
        <w:ind w:left="235" w:hanging="129"/>
      </w:pPr>
      <w:rPr>
        <w:rFonts w:ascii="Times New Roman" w:eastAsia="Times New Roman" w:hAnsi="Times New Roman" w:cs="Times New Roman" w:hint="default"/>
        <w:spacing w:val="-1"/>
        <w:w w:val="100"/>
        <w:sz w:val="22"/>
        <w:szCs w:val="22"/>
        <w:lang w:val="vi" w:eastAsia="en-US" w:bidi="ar-SA"/>
      </w:rPr>
    </w:lvl>
    <w:lvl w:ilvl="1" w:tplc="B558A00A">
      <w:numFmt w:val="bullet"/>
      <w:lvlText w:val="•"/>
      <w:lvlJc w:val="left"/>
      <w:pPr>
        <w:ind w:left="732" w:hanging="129"/>
      </w:pPr>
      <w:rPr>
        <w:rFonts w:hint="default"/>
        <w:lang w:val="vi" w:eastAsia="en-US" w:bidi="ar-SA"/>
      </w:rPr>
    </w:lvl>
    <w:lvl w:ilvl="2" w:tplc="136A45B6">
      <w:numFmt w:val="bullet"/>
      <w:lvlText w:val="•"/>
      <w:lvlJc w:val="left"/>
      <w:pPr>
        <w:ind w:left="1225" w:hanging="129"/>
      </w:pPr>
      <w:rPr>
        <w:rFonts w:hint="default"/>
        <w:lang w:val="vi" w:eastAsia="en-US" w:bidi="ar-SA"/>
      </w:rPr>
    </w:lvl>
    <w:lvl w:ilvl="3" w:tplc="D464A246">
      <w:numFmt w:val="bullet"/>
      <w:lvlText w:val="•"/>
      <w:lvlJc w:val="left"/>
      <w:pPr>
        <w:ind w:left="1718" w:hanging="129"/>
      </w:pPr>
      <w:rPr>
        <w:rFonts w:hint="default"/>
        <w:lang w:val="vi" w:eastAsia="en-US" w:bidi="ar-SA"/>
      </w:rPr>
    </w:lvl>
    <w:lvl w:ilvl="4" w:tplc="C6A412E0">
      <w:numFmt w:val="bullet"/>
      <w:lvlText w:val="•"/>
      <w:lvlJc w:val="left"/>
      <w:pPr>
        <w:ind w:left="2211" w:hanging="129"/>
      </w:pPr>
      <w:rPr>
        <w:rFonts w:hint="default"/>
        <w:lang w:val="vi" w:eastAsia="en-US" w:bidi="ar-SA"/>
      </w:rPr>
    </w:lvl>
    <w:lvl w:ilvl="5" w:tplc="84263666">
      <w:numFmt w:val="bullet"/>
      <w:lvlText w:val="•"/>
      <w:lvlJc w:val="left"/>
      <w:pPr>
        <w:ind w:left="2704" w:hanging="129"/>
      </w:pPr>
      <w:rPr>
        <w:rFonts w:hint="default"/>
        <w:lang w:val="vi" w:eastAsia="en-US" w:bidi="ar-SA"/>
      </w:rPr>
    </w:lvl>
    <w:lvl w:ilvl="6" w:tplc="4EC0B512">
      <w:numFmt w:val="bullet"/>
      <w:lvlText w:val="•"/>
      <w:lvlJc w:val="left"/>
      <w:pPr>
        <w:ind w:left="3197" w:hanging="129"/>
      </w:pPr>
      <w:rPr>
        <w:rFonts w:hint="default"/>
        <w:lang w:val="vi" w:eastAsia="en-US" w:bidi="ar-SA"/>
      </w:rPr>
    </w:lvl>
    <w:lvl w:ilvl="7" w:tplc="14160598">
      <w:numFmt w:val="bullet"/>
      <w:lvlText w:val="•"/>
      <w:lvlJc w:val="left"/>
      <w:pPr>
        <w:ind w:left="3690" w:hanging="129"/>
      </w:pPr>
      <w:rPr>
        <w:rFonts w:hint="default"/>
        <w:lang w:val="vi" w:eastAsia="en-US" w:bidi="ar-SA"/>
      </w:rPr>
    </w:lvl>
    <w:lvl w:ilvl="8" w:tplc="114E4A5E">
      <w:numFmt w:val="bullet"/>
      <w:lvlText w:val="•"/>
      <w:lvlJc w:val="left"/>
      <w:pPr>
        <w:ind w:left="4183" w:hanging="129"/>
      </w:pPr>
      <w:rPr>
        <w:rFonts w:hint="default"/>
        <w:lang w:val="vi" w:eastAsia="en-US" w:bidi="ar-SA"/>
      </w:rPr>
    </w:lvl>
  </w:abstractNum>
  <w:abstractNum w:abstractNumId="5" w15:restartNumberingAfterBreak="0">
    <w:nsid w:val="6C5369E2"/>
    <w:multiLevelType w:val="hybridMultilevel"/>
    <w:tmpl w:val="B09855B4"/>
    <w:lvl w:ilvl="0" w:tplc="62EA0FEE">
      <w:start w:val="1"/>
      <w:numFmt w:val="lowerLetter"/>
      <w:lvlText w:val="%1)"/>
      <w:lvlJc w:val="left"/>
      <w:pPr>
        <w:ind w:left="141" w:hanging="298"/>
        <w:jc w:val="left"/>
      </w:pPr>
      <w:rPr>
        <w:rFonts w:ascii="Times New Roman" w:eastAsia="Times New Roman" w:hAnsi="Times New Roman" w:cs="Times New Roman" w:hint="default"/>
        <w:w w:val="100"/>
        <w:sz w:val="28"/>
        <w:szCs w:val="28"/>
        <w:lang w:val="vi" w:eastAsia="en-US" w:bidi="ar-SA"/>
      </w:rPr>
    </w:lvl>
    <w:lvl w:ilvl="1" w:tplc="6B44844C">
      <w:numFmt w:val="bullet"/>
      <w:lvlText w:val="•"/>
      <w:lvlJc w:val="left"/>
      <w:pPr>
        <w:ind w:left="1058" w:hanging="298"/>
      </w:pPr>
      <w:rPr>
        <w:rFonts w:hint="default"/>
        <w:lang w:val="vi" w:eastAsia="en-US" w:bidi="ar-SA"/>
      </w:rPr>
    </w:lvl>
    <w:lvl w:ilvl="2" w:tplc="F0743D9E">
      <w:numFmt w:val="bullet"/>
      <w:lvlText w:val="•"/>
      <w:lvlJc w:val="left"/>
      <w:pPr>
        <w:ind w:left="1977" w:hanging="298"/>
      </w:pPr>
      <w:rPr>
        <w:rFonts w:hint="default"/>
        <w:lang w:val="vi" w:eastAsia="en-US" w:bidi="ar-SA"/>
      </w:rPr>
    </w:lvl>
    <w:lvl w:ilvl="3" w:tplc="3BE29BAA">
      <w:numFmt w:val="bullet"/>
      <w:lvlText w:val="•"/>
      <w:lvlJc w:val="left"/>
      <w:pPr>
        <w:ind w:left="2896" w:hanging="298"/>
      </w:pPr>
      <w:rPr>
        <w:rFonts w:hint="default"/>
        <w:lang w:val="vi" w:eastAsia="en-US" w:bidi="ar-SA"/>
      </w:rPr>
    </w:lvl>
    <w:lvl w:ilvl="4" w:tplc="43FA3150">
      <w:numFmt w:val="bullet"/>
      <w:lvlText w:val="•"/>
      <w:lvlJc w:val="left"/>
      <w:pPr>
        <w:ind w:left="3814" w:hanging="298"/>
      </w:pPr>
      <w:rPr>
        <w:rFonts w:hint="default"/>
        <w:lang w:val="vi" w:eastAsia="en-US" w:bidi="ar-SA"/>
      </w:rPr>
    </w:lvl>
    <w:lvl w:ilvl="5" w:tplc="238CF428">
      <w:numFmt w:val="bullet"/>
      <w:lvlText w:val="•"/>
      <w:lvlJc w:val="left"/>
      <w:pPr>
        <w:ind w:left="4733" w:hanging="298"/>
      </w:pPr>
      <w:rPr>
        <w:rFonts w:hint="default"/>
        <w:lang w:val="vi" w:eastAsia="en-US" w:bidi="ar-SA"/>
      </w:rPr>
    </w:lvl>
    <w:lvl w:ilvl="6" w:tplc="632645F2">
      <w:numFmt w:val="bullet"/>
      <w:lvlText w:val="•"/>
      <w:lvlJc w:val="left"/>
      <w:pPr>
        <w:ind w:left="5652" w:hanging="298"/>
      </w:pPr>
      <w:rPr>
        <w:rFonts w:hint="default"/>
        <w:lang w:val="vi" w:eastAsia="en-US" w:bidi="ar-SA"/>
      </w:rPr>
    </w:lvl>
    <w:lvl w:ilvl="7" w:tplc="BCBE4EE4">
      <w:numFmt w:val="bullet"/>
      <w:lvlText w:val="•"/>
      <w:lvlJc w:val="left"/>
      <w:pPr>
        <w:ind w:left="6570" w:hanging="298"/>
      </w:pPr>
      <w:rPr>
        <w:rFonts w:hint="default"/>
        <w:lang w:val="vi" w:eastAsia="en-US" w:bidi="ar-SA"/>
      </w:rPr>
    </w:lvl>
    <w:lvl w:ilvl="8" w:tplc="0EA2E10E">
      <w:numFmt w:val="bullet"/>
      <w:lvlText w:val="•"/>
      <w:lvlJc w:val="left"/>
      <w:pPr>
        <w:ind w:left="7489" w:hanging="298"/>
      </w:pPr>
      <w:rPr>
        <w:rFonts w:hint="default"/>
        <w:lang w:val="vi" w:eastAsia="en-US" w:bidi="ar-SA"/>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1F230B"/>
    <w:rsid w:val="001F230B"/>
    <w:rsid w:val="00594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1DCC677"/>
  <w15:docId w15:val="{6F607590-95F4-406F-A2CE-ED0D8AE2E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ind w:left="501"/>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8"/>
      <w:szCs w:val="28"/>
    </w:rPr>
  </w:style>
  <w:style w:type="paragraph" w:styleId="ListParagraph">
    <w:name w:val="List Paragraph"/>
    <w:basedOn w:val="Normal"/>
    <w:uiPriority w:val="1"/>
    <w:qFormat/>
    <w:pPr>
      <w:spacing w:before="25"/>
      <w:ind w:left="235" w:hanging="12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29-2023-nd-cp-tinh-gian-bien-che-558755.aspx"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thuvienphapluat.vn/van-ban/lao-dong-tien-luong/nghi-dinh-46-2010-nd-cp-thoi-viec-thu-tuc-nghi-huu-cong-chuc-104763.aspx"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BC021F-FCEC-450C-8D65-B5DB6331C7CC}"/>
</file>

<file path=customXml/itemProps2.xml><?xml version="1.0" encoding="utf-8"?>
<ds:datastoreItem xmlns:ds="http://schemas.openxmlformats.org/officeDocument/2006/customXml" ds:itemID="{70BBAD48-DEA1-42DF-8E28-A685EF314852}"/>
</file>

<file path=customXml/itemProps3.xml><?xml version="1.0" encoding="utf-8"?>
<ds:datastoreItem xmlns:ds="http://schemas.openxmlformats.org/officeDocument/2006/customXml" ds:itemID="{FFC15FFD-0BC4-4675-902E-0F826CA7376D}"/>
</file>

<file path=docProps/app.xml><?xml version="1.0" encoding="utf-8"?>
<Properties xmlns="http://schemas.openxmlformats.org/officeDocument/2006/extended-properties" xmlns:vt="http://schemas.openxmlformats.org/officeDocument/2006/docPropsVTypes">
  <Template>Normal</Template>
  <TotalTime>5</TotalTime>
  <Pages>3</Pages>
  <Words>724</Words>
  <Characters>4132</Characters>
  <Application>Microsoft Office Word</Application>
  <DocSecurity>0</DocSecurity>
  <Lines>34</Lines>
  <Paragraphs>9</Paragraphs>
  <ScaleCrop>false</ScaleCrop>
  <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 ban Nh©n d©n tØnh Hi D­ng</dc:title>
  <dc:creator>Ulysses R. Gotera</dc:creator>
  <cp:keywords>FoxChit SOFTWARE SOLUTIONS</cp:keywords>
  <cp:lastModifiedBy>Huy Trần</cp:lastModifiedBy>
  <cp:revision>2</cp:revision>
  <dcterms:created xsi:type="dcterms:W3CDTF">2023-12-14T09:34:00Z</dcterms:created>
  <dcterms:modified xsi:type="dcterms:W3CDTF">2023-12-15T07:14:00Z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2023-11-28T00:00:00Z</vt:filetime>
  </property>
  <property fmtid="{D5CDD505-2E9C-101B-9397-08002B2CF9AE}" pid="3" name="Creator">
    <vt:lpwstr>Microsoft Office Word</vt:lpwstr>
  </property>
  <property fmtid="{D5CDD505-2E9C-101B-9397-08002B2CF9AE}" pid="4" name="LastSaved">
    <vt:filetime>2023-12-14T00:00:00Z</vt:filetime>
  </property>
</Properties>
</file>